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outlineLvl w:val="1"/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outlineLvl w:val="1"/>
        <w:rPr>
          <w:rFonts w:ascii="方正小标宋简体" w:hAnsi="黑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  <w:t>2020年洛阳伊滨区</w:t>
      </w: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  <w:t>选聘优秀教师</w:t>
      </w:r>
    </w:p>
    <w:p>
      <w:pPr>
        <w:widowControl/>
        <w:spacing w:line="560" w:lineRule="exact"/>
        <w:jc w:val="center"/>
        <w:outlineLvl w:val="1"/>
        <w:rPr>
          <w:rFonts w:hint="default" w:ascii="方正小标宋简体" w:hAnsi="黑体" w:eastAsia="方正小标宋简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  <w:t>加分审核提交材料清单</w:t>
      </w: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及加法办法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664" w:firstLineChars="200"/>
        <w:jc w:val="both"/>
        <w:rPr>
          <w:rFonts w:hint="eastAsia" w:ascii="方正小标宋简体" w:hAnsi="黑体" w:eastAsia="仿宋_GB2312" w:cs="宋体"/>
          <w:bCs/>
          <w:color w:val="auto"/>
          <w:kern w:val="0"/>
          <w:sz w:val="44"/>
          <w:szCs w:val="44"/>
          <w:lang w:eastAsia="zh-CN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>加分条件共有3项，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以下</w:t>
      </w:r>
      <w:r>
        <w:rPr>
          <w:rFonts w:ascii="Times New Roman" w:hAnsi="Times New Roman" w:eastAsia="仿宋_GB2312"/>
          <w:spacing w:val="6"/>
          <w:sz w:val="32"/>
          <w:szCs w:val="32"/>
        </w:rPr>
        <w:t>3项可同时加分，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请考生准备符合条件的材料，原件及复印件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：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="664" w:firstLineChars="200"/>
        <w:rPr>
          <w:rFonts w:ascii="Times New Roman" w:hAnsi="Times New Roman" w:eastAsia="仿宋_GB2312"/>
          <w:color w:val="auto"/>
          <w:spacing w:val="6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6"/>
          <w:sz w:val="32"/>
          <w:szCs w:val="32"/>
        </w:rPr>
        <w:t>学历</w:t>
      </w:r>
    </w:p>
    <w:p>
      <w:pPr>
        <w:pStyle w:val="5"/>
        <w:numPr>
          <w:ilvl w:val="0"/>
          <w:numId w:val="0"/>
        </w:numPr>
        <w:adjustRightInd w:val="0"/>
        <w:snapToGrid w:val="0"/>
        <w:spacing w:before="0" w:beforeAutospacing="0" w:after="0" w:afterAutospacing="0" w:line="560" w:lineRule="exact"/>
        <w:ind w:firstLine="688"/>
        <w:rPr>
          <w:rFonts w:hint="eastAsia" w:ascii="Times New Roman" w:hAnsi="Times New Roman" w:eastAsia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  <w:lang w:val="en-US" w:eastAsia="zh-CN"/>
        </w:rPr>
        <w:t>全日制本科及以上学历毕业证书（国外高校毕业生需提供我国驻外使（领）馆教育文化处（组）出具的留学回国人员证明、教育部出具的国外学历学位认证书），以及学历认证报告或有效期内的学历证书电子注册备案表（学信网可下载，带二维码且出具时间在一周以内）。</w:t>
      </w:r>
    </w:p>
    <w:p>
      <w:pPr>
        <w:pStyle w:val="5"/>
        <w:widowControl/>
        <w:numPr>
          <w:ilvl w:val="0"/>
          <w:numId w:val="0"/>
        </w:numPr>
        <w:adjustRightInd w:val="0"/>
        <w:snapToGrid w:val="0"/>
        <w:spacing w:beforeAutospacing="0" w:afterAutospacing="0" w:line="560" w:lineRule="exact"/>
        <w:ind w:firstLine="664" w:firstLineChars="200"/>
        <w:jc w:val="both"/>
        <w:rPr>
          <w:rFonts w:hint="default" w:ascii="Times New Roman" w:hAnsi="Times New Roman" w:eastAsia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全日制本科学历，全日制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  <w:lang w:eastAsia="zh-CN"/>
        </w:rPr>
        <w:t>硕士研究生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学历，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  <w:t>全日制</w:t>
      </w:r>
      <w:r>
        <w:rPr>
          <w:rFonts w:ascii="Times New Roman" w:hAnsi="Times New Roman" w:eastAsia="仿宋_GB2312"/>
          <w:color w:val="auto"/>
          <w:spacing w:val="6"/>
          <w:sz w:val="32"/>
          <w:szCs w:val="32"/>
        </w:rPr>
        <w:t>博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士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  <w:lang w:eastAsia="zh-CN"/>
        </w:rPr>
        <w:t>研究生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学历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，取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最高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学历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给分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不累计加分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，分别加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1分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2分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5分。</w:t>
      </w:r>
    </w:p>
    <w:p>
      <w:pPr>
        <w:pStyle w:val="5"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 w:eastAsia="仿宋_GB2312"/>
          <w:color w:val="auto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pacing w:val="6"/>
          <w:sz w:val="32"/>
          <w:szCs w:val="32"/>
        </w:rPr>
        <w:t>优质课、示范课、观摩课</w:t>
      </w:r>
    </w:p>
    <w:p>
      <w:pPr>
        <w:pStyle w:val="5"/>
        <w:adjustRightInd w:val="0"/>
        <w:snapToGrid w:val="0"/>
        <w:spacing w:beforeAutospacing="0" w:afterAutospacing="0" w:line="560" w:lineRule="exact"/>
        <w:ind w:firstLine="664" w:firstLineChars="200"/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>国家，省，市教研部门组织的优质课、示范课、观摩课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  <w:t>证书原件、专家评价表原件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  <w:t>获奖文件或简报。</w:t>
      </w:r>
    </w:p>
    <w:p>
      <w:pPr>
        <w:pStyle w:val="5"/>
        <w:widowControl/>
        <w:numPr>
          <w:ilvl w:val="0"/>
          <w:numId w:val="0"/>
        </w:numPr>
        <w:adjustRightInd w:val="0"/>
        <w:snapToGrid w:val="0"/>
        <w:spacing w:beforeAutospacing="0" w:afterAutospacing="0" w:line="560" w:lineRule="exact"/>
        <w:ind w:firstLine="664" w:firstLineChars="200"/>
        <w:jc w:val="both"/>
        <w:rPr>
          <w:rFonts w:ascii="Times New Roman" w:hAnsi="Times New Roman" w:eastAsia="仿宋_GB2312"/>
          <w:color w:val="000000"/>
          <w:spacing w:val="6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国家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省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市教研部门组织的优质课、示范课、观摩课取最高级别给分，不累计加分，分别加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分，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分，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分。</w:t>
      </w:r>
    </w:p>
    <w:p>
      <w:pPr>
        <w:pStyle w:val="5"/>
        <w:adjustRightInd w:val="0"/>
        <w:snapToGrid w:val="0"/>
        <w:spacing w:beforeAutospacing="0" w:afterAutospacing="0" w:line="560" w:lineRule="exact"/>
        <w:ind w:firstLine="664" w:firstLineChars="200"/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</w:pPr>
    </w:p>
    <w:p>
      <w:pPr>
        <w:pStyle w:val="5"/>
        <w:adjustRightInd w:val="0"/>
        <w:snapToGrid w:val="0"/>
        <w:spacing w:beforeAutospacing="0" w:afterAutospacing="0" w:line="560" w:lineRule="exact"/>
        <w:ind w:firstLine="664" w:firstLineChars="200"/>
        <w:rPr>
          <w:rFonts w:ascii="Times New Roman" w:hAnsi="Times New Roman" w:eastAsia="仿宋_GB2312"/>
          <w:color w:val="auto"/>
          <w:spacing w:val="6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6"/>
          <w:sz w:val="32"/>
          <w:szCs w:val="32"/>
        </w:rPr>
        <w:t>3．综合奖</w:t>
      </w:r>
    </w:p>
    <w:p>
      <w:pPr>
        <w:pStyle w:val="5"/>
        <w:adjustRightInd w:val="0"/>
        <w:snapToGrid w:val="0"/>
        <w:spacing w:beforeAutospacing="0" w:afterAutospacing="0" w:line="560" w:lineRule="exact"/>
        <w:ind w:firstLine="664" w:firstLineChars="200"/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>国家，省，市模范教师、优秀教师、优秀教育工作者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</w:rPr>
        <w:t>证书原件、表彰文件或相关报纸。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ind w:firstLine="664" w:firstLineChars="200"/>
        <w:jc w:val="both"/>
        <w:rPr>
          <w:rFonts w:ascii="Times New Roman" w:hAnsi="Times New Roman" w:eastAsia="仿宋_GB2312"/>
          <w:color w:val="000000"/>
          <w:spacing w:val="6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国家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省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</w:rPr>
        <w:t>市模范教师、优秀教师、优秀教育工作者取最高级别给分，不累计加分，分别加3分，2分，1分。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/>
          <w:color w:val="auto"/>
          <w:spacing w:val="6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664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加分咨询电话：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  <w:lang w:val="en-US" w:eastAsia="zh-CN"/>
        </w:rPr>
        <w:t xml:space="preserve">0379-61277388 </w:t>
      </w:r>
    </w:p>
    <w:p>
      <w:pPr>
        <w:widowControl/>
        <w:spacing w:line="560" w:lineRule="exact"/>
        <w:ind w:left="664" w:hanging="664" w:hangingChars="200"/>
        <w:jc w:val="left"/>
        <w:rPr>
          <w:rFonts w:hint="eastAsia" w:ascii="Times New Roman" w:hAnsi="Times New Roman" w:eastAsia="仿宋_GB2312"/>
          <w:spacing w:val="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DEFB12"/>
    <w:multiLevelType w:val="singleLevel"/>
    <w:tmpl w:val="DFDEFB12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B171B54"/>
    <w:multiLevelType w:val="multilevel"/>
    <w:tmpl w:val="0B171B54"/>
    <w:lvl w:ilvl="0" w:tentative="0">
      <w:start w:val="2"/>
      <w:numFmt w:val="decimal"/>
      <w:lvlText w:val="%1."/>
      <w:lvlJc w:val="left"/>
      <w:pPr>
        <w:ind w:left="102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04" w:hanging="420"/>
      </w:pPr>
    </w:lvl>
    <w:lvl w:ilvl="2" w:tentative="0">
      <w:start w:val="1"/>
      <w:numFmt w:val="lowerRoman"/>
      <w:lvlText w:val="%3."/>
      <w:lvlJc w:val="right"/>
      <w:pPr>
        <w:ind w:left="1924" w:hanging="420"/>
      </w:pPr>
    </w:lvl>
    <w:lvl w:ilvl="3" w:tentative="0">
      <w:start w:val="1"/>
      <w:numFmt w:val="decimal"/>
      <w:lvlText w:val="%4."/>
      <w:lvlJc w:val="left"/>
      <w:pPr>
        <w:ind w:left="2344" w:hanging="420"/>
      </w:pPr>
    </w:lvl>
    <w:lvl w:ilvl="4" w:tentative="0">
      <w:start w:val="1"/>
      <w:numFmt w:val="lowerLetter"/>
      <w:lvlText w:val="%5)"/>
      <w:lvlJc w:val="left"/>
      <w:pPr>
        <w:ind w:left="2764" w:hanging="420"/>
      </w:pPr>
    </w:lvl>
    <w:lvl w:ilvl="5" w:tentative="0">
      <w:start w:val="1"/>
      <w:numFmt w:val="lowerRoman"/>
      <w:lvlText w:val="%6."/>
      <w:lvlJc w:val="right"/>
      <w:pPr>
        <w:ind w:left="3184" w:hanging="420"/>
      </w:pPr>
    </w:lvl>
    <w:lvl w:ilvl="6" w:tentative="0">
      <w:start w:val="1"/>
      <w:numFmt w:val="decimal"/>
      <w:lvlText w:val="%7."/>
      <w:lvlJc w:val="left"/>
      <w:pPr>
        <w:ind w:left="3604" w:hanging="420"/>
      </w:pPr>
    </w:lvl>
    <w:lvl w:ilvl="7" w:tentative="0">
      <w:start w:val="1"/>
      <w:numFmt w:val="lowerLetter"/>
      <w:lvlText w:val="%8)"/>
      <w:lvlJc w:val="left"/>
      <w:pPr>
        <w:ind w:left="4024" w:hanging="420"/>
      </w:pPr>
    </w:lvl>
    <w:lvl w:ilvl="8" w:tentative="0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53"/>
    <w:rsid w:val="00014490"/>
    <w:rsid w:val="00026FE4"/>
    <w:rsid w:val="0003435F"/>
    <w:rsid w:val="00065E86"/>
    <w:rsid w:val="000D219E"/>
    <w:rsid w:val="000F522A"/>
    <w:rsid w:val="0010687C"/>
    <w:rsid w:val="00193A2E"/>
    <w:rsid w:val="00277D53"/>
    <w:rsid w:val="003333BC"/>
    <w:rsid w:val="00353C95"/>
    <w:rsid w:val="00371B6C"/>
    <w:rsid w:val="003D6DEF"/>
    <w:rsid w:val="004237B1"/>
    <w:rsid w:val="00441ECD"/>
    <w:rsid w:val="00473C2B"/>
    <w:rsid w:val="004B5CC7"/>
    <w:rsid w:val="004E5D4D"/>
    <w:rsid w:val="004F2269"/>
    <w:rsid w:val="004F66DA"/>
    <w:rsid w:val="00573F0A"/>
    <w:rsid w:val="005818FC"/>
    <w:rsid w:val="005A3121"/>
    <w:rsid w:val="005A4E3C"/>
    <w:rsid w:val="00617659"/>
    <w:rsid w:val="00630031"/>
    <w:rsid w:val="006A0059"/>
    <w:rsid w:val="006A2989"/>
    <w:rsid w:val="006F5194"/>
    <w:rsid w:val="00710F1B"/>
    <w:rsid w:val="0071277D"/>
    <w:rsid w:val="007572E4"/>
    <w:rsid w:val="007E21D7"/>
    <w:rsid w:val="007E5508"/>
    <w:rsid w:val="007F60B0"/>
    <w:rsid w:val="008160F8"/>
    <w:rsid w:val="00821E2D"/>
    <w:rsid w:val="008E227F"/>
    <w:rsid w:val="008E57A4"/>
    <w:rsid w:val="008F0E3E"/>
    <w:rsid w:val="00907A0D"/>
    <w:rsid w:val="00924EB6"/>
    <w:rsid w:val="009254AC"/>
    <w:rsid w:val="009B1364"/>
    <w:rsid w:val="009D1EFD"/>
    <w:rsid w:val="00A24E0C"/>
    <w:rsid w:val="00A56967"/>
    <w:rsid w:val="00B820B0"/>
    <w:rsid w:val="00B976B8"/>
    <w:rsid w:val="00BC18CA"/>
    <w:rsid w:val="00BC2551"/>
    <w:rsid w:val="00BC5490"/>
    <w:rsid w:val="00BD051F"/>
    <w:rsid w:val="00C8092B"/>
    <w:rsid w:val="00CD0E88"/>
    <w:rsid w:val="00CE68F3"/>
    <w:rsid w:val="00D8697A"/>
    <w:rsid w:val="00DB4E87"/>
    <w:rsid w:val="00E12496"/>
    <w:rsid w:val="00E24323"/>
    <w:rsid w:val="00E358B3"/>
    <w:rsid w:val="00E51982"/>
    <w:rsid w:val="00E760B5"/>
    <w:rsid w:val="00E80F32"/>
    <w:rsid w:val="00E871BA"/>
    <w:rsid w:val="00E90504"/>
    <w:rsid w:val="00EB12DB"/>
    <w:rsid w:val="00EF1CA1"/>
    <w:rsid w:val="00EF2363"/>
    <w:rsid w:val="00F95428"/>
    <w:rsid w:val="00FE3CA8"/>
    <w:rsid w:val="0445433D"/>
    <w:rsid w:val="07E27599"/>
    <w:rsid w:val="098B5E02"/>
    <w:rsid w:val="0CD07003"/>
    <w:rsid w:val="0FD11F7D"/>
    <w:rsid w:val="112F4AB6"/>
    <w:rsid w:val="121E4054"/>
    <w:rsid w:val="13B2320D"/>
    <w:rsid w:val="152965C8"/>
    <w:rsid w:val="16C33AA0"/>
    <w:rsid w:val="1B406B0B"/>
    <w:rsid w:val="1DD35124"/>
    <w:rsid w:val="201B4904"/>
    <w:rsid w:val="2139295E"/>
    <w:rsid w:val="271B19B3"/>
    <w:rsid w:val="2A5A4BE6"/>
    <w:rsid w:val="2AFB0A8A"/>
    <w:rsid w:val="2E3900B0"/>
    <w:rsid w:val="2EBC4794"/>
    <w:rsid w:val="2F0630E8"/>
    <w:rsid w:val="2FF40D46"/>
    <w:rsid w:val="31433FC6"/>
    <w:rsid w:val="356802B0"/>
    <w:rsid w:val="3B0C4152"/>
    <w:rsid w:val="3C0B534F"/>
    <w:rsid w:val="3CD1766B"/>
    <w:rsid w:val="3CE84401"/>
    <w:rsid w:val="3F6419F2"/>
    <w:rsid w:val="46F81AE7"/>
    <w:rsid w:val="47E4204E"/>
    <w:rsid w:val="496426EF"/>
    <w:rsid w:val="4A5B3DE2"/>
    <w:rsid w:val="4B596B78"/>
    <w:rsid w:val="4BD5056D"/>
    <w:rsid w:val="4C573391"/>
    <w:rsid w:val="4CCC4692"/>
    <w:rsid w:val="4E036ECD"/>
    <w:rsid w:val="4EA675F4"/>
    <w:rsid w:val="50923C73"/>
    <w:rsid w:val="512A58C1"/>
    <w:rsid w:val="58527BBB"/>
    <w:rsid w:val="5CBE6D0A"/>
    <w:rsid w:val="62397D36"/>
    <w:rsid w:val="63782825"/>
    <w:rsid w:val="66D00F1E"/>
    <w:rsid w:val="68090DEE"/>
    <w:rsid w:val="6A912305"/>
    <w:rsid w:val="6AF50285"/>
    <w:rsid w:val="6C1F601E"/>
    <w:rsid w:val="6CC4233B"/>
    <w:rsid w:val="6DFE48CB"/>
    <w:rsid w:val="6F523C38"/>
    <w:rsid w:val="70521599"/>
    <w:rsid w:val="707F1C16"/>
    <w:rsid w:val="70BD239A"/>
    <w:rsid w:val="71D45F26"/>
    <w:rsid w:val="73DA7D28"/>
    <w:rsid w:val="7CC02DBA"/>
    <w:rsid w:val="7DFF2802"/>
    <w:rsid w:val="7F8C4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8DB7E-6284-4E9C-96E9-DEBE60731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1864</Characters>
  <Lines>15</Lines>
  <Paragraphs>4</Paragraphs>
  <TotalTime>1</TotalTime>
  <ScaleCrop>false</ScaleCrop>
  <LinksUpToDate>false</LinksUpToDate>
  <CharactersWithSpaces>2187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2017-07-10T01:36:00Z</dcterms:created>
  <dc:creator>china</dc:creator>
  <cp:lastModifiedBy>lenovo</cp:lastModifiedBy>
  <cp:lastPrinted>2020-07-09T09:26:00Z</cp:lastPrinted>
  <dcterms:modified xsi:type="dcterms:W3CDTF">2020-07-16T13:55:34Z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