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  <w:bookmarkStart w:id="0" w:name="_GoBack"/>
      <w:bookmarkEnd w:id="0"/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伊滨区司法办公室</w:t>
      </w: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cs="黑体"/>
          <w:sz w:val="52"/>
          <w:szCs w:val="52"/>
        </w:rPr>
        <w:t>2019</w:t>
      </w:r>
      <w:r>
        <w:rPr>
          <w:rFonts w:ascii="黑体" w:eastAsia="黑体" w:hAnsi="黑体" w:cs="黑体" w:hint="eastAsia"/>
          <w:sz w:val="52"/>
          <w:szCs w:val="52"/>
        </w:rPr>
        <w:t>年度部门预算</w:t>
      </w: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</w:p>
    <w:p w:rsidR="00A0527F" w:rsidRDefault="00A0527F">
      <w:pPr>
        <w:jc w:val="center"/>
        <w:rPr>
          <w:rFonts w:ascii="黑体" w:eastAsia="黑体" w:hAnsi="黑体"/>
          <w:sz w:val="52"/>
          <w:szCs w:val="52"/>
        </w:rPr>
      </w:pPr>
    </w:p>
    <w:p w:rsidR="00A0527F" w:rsidRDefault="00A0527F">
      <w:pPr>
        <w:jc w:val="center"/>
        <w:rPr>
          <w:rFonts w:ascii="黑体" w:eastAsia="黑体" w:hAnsi="黑体"/>
          <w:sz w:val="32"/>
          <w:szCs w:val="32"/>
        </w:rPr>
        <w:sectPr w:rsidR="00A052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31" w:bottom="1440" w:left="1587" w:header="850" w:footer="992" w:gutter="0"/>
          <w:pgNumType w:fmt="numberInDash"/>
          <w:cols w:space="720"/>
          <w:docGrid w:type="lines" w:linePitch="317"/>
        </w:sectPr>
      </w:pPr>
      <w:r>
        <w:rPr>
          <w:rFonts w:ascii="黑体" w:eastAsia="黑体" w:hAnsi="黑体" w:cs="黑体" w:hint="eastAsia"/>
          <w:sz w:val="32"/>
          <w:szCs w:val="32"/>
        </w:rPr>
        <w:t>二〇一九年四月</w:t>
      </w:r>
    </w:p>
    <w:p w:rsidR="00A0527F" w:rsidRDefault="00A0527F" w:rsidP="000E57DE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1"/>
        <w:jc w:val="center"/>
        <w:rPr>
          <w:rFonts w:ascii="方正小标宋简体" w:eastAsia="方正小标宋简体" w:hAnsi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color w:val="000000"/>
          <w:sz w:val="44"/>
          <w:szCs w:val="44"/>
        </w:rPr>
        <w:lastRenderedPageBreak/>
        <w:t>目</w:t>
      </w:r>
      <w:r>
        <w:rPr>
          <w:rFonts w:ascii="方正小标宋简体" w:eastAsia="方正小标宋简体" w:hAnsi="仿宋_GB2312" w:cs="方正小标宋简体"/>
          <w:color w:val="000000"/>
          <w:spacing w:val="2"/>
          <w:sz w:val="44"/>
          <w:szCs w:val="44"/>
        </w:rPr>
        <w:t xml:space="preserve"> </w:t>
      </w:r>
      <w:r>
        <w:rPr>
          <w:rFonts w:ascii="方正小标宋简体" w:eastAsia="方正小标宋简体" w:hAnsi="仿宋_GB2312" w:cs="方正小标宋简体" w:hint="eastAsia"/>
          <w:color w:val="000000"/>
          <w:sz w:val="44"/>
          <w:szCs w:val="44"/>
        </w:rPr>
        <w:t>录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3569"/>
        <w:rPr>
          <w:rFonts w:ascii="仿宋_GB2312" w:eastAsia="仿宋_GB2312" w:hAnsi="仿宋_GB2312"/>
          <w:b/>
          <w:bCs/>
          <w:sz w:val="32"/>
          <w:szCs w:val="32"/>
        </w:rPr>
      </w:pP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3569"/>
        <w:rPr>
          <w:rFonts w:ascii="仿宋_GB2312" w:eastAsia="仿宋_GB2312" w:hAnsi="仿宋_GB2312" w:cs="仿宋_GB2312"/>
          <w:w w:val="99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概况</w:t>
      </w:r>
      <w:r>
        <w:rPr>
          <w:rFonts w:ascii="仿宋_GB2312" w:eastAsia="仿宋_GB2312" w:hAnsi="仿宋_GB2312" w:cs="仿宋_GB2312"/>
          <w:w w:val="99"/>
          <w:sz w:val="32"/>
          <w:szCs w:val="32"/>
        </w:rPr>
        <w:t xml:space="preserve"> 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一、主要职能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二、部门预算单位构成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第二部分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年部门预算情况说明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名词解释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pacing w:val="-3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一、部门收支总体情况表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二、部门收入总体情况表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三、部门支出总体情况表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四、财政拨款收支总体情况表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五、一般公共预算支出情况表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六、一般公共预算基本支出情况表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七、一般公共预算“三公”经费支出情况表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八、政府性基金预算支出情况表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九、国有资本经营预算收支情况表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十、机关运行经费</w:t>
      </w:r>
    </w:p>
    <w:p w:rsidR="00A0527F" w:rsidRDefault="00A0527F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十一、预算项目支出绩效目标表</w:t>
      </w:r>
    </w:p>
    <w:p w:rsidR="00A0527F" w:rsidRDefault="00A0527F">
      <w:pPr>
        <w:jc w:val="left"/>
        <w:rPr>
          <w:rFonts w:ascii="黑体" w:eastAsia="黑体" w:hAnsi="黑体"/>
          <w:sz w:val="32"/>
          <w:szCs w:val="32"/>
        </w:rPr>
        <w:sectPr w:rsidR="00A0527F">
          <w:footerReference w:type="default" r:id="rId13"/>
          <w:pgSz w:w="11906" w:h="16838"/>
          <w:pgMar w:top="1440" w:right="1531" w:bottom="1440" w:left="1587" w:header="850" w:footer="992" w:gutter="0"/>
          <w:pgNumType w:fmt="numberInDash"/>
          <w:cols w:space="720"/>
          <w:docGrid w:type="lines" w:linePitch="317"/>
        </w:sect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adjustRightInd w:val="0"/>
        <w:snapToGrid w:val="0"/>
        <w:spacing w:line="580" w:lineRule="exact"/>
        <w:jc w:val="center"/>
        <w:rPr>
          <w:rFonts w:ascii="黑体" w:eastAsia="黑体" w:hAnsi="仿宋_GB2312"/>
          <w:color w:val="000000"/>
          <w:sz w:val="44"/>
          <w:szCs w:val="44"/>
        </w:rPr>
      </w:pPr>
      <w:r>
        <w:rPr>
          <w:rFonts w:ascii="黑体" w:eastAsia="黑体" w:hAnsi="仿宋_GB2312" w:cs="黑体" w:hint="eastAsia"/>
          <w:color w:val="000000"/>
          <w:sz w:val="44"/>
          <w:szCs w:val="44"/>
        </w:rPr>
        <w:t>第一部分</w:t>
      </w:r>
    </w:p>
    <w:p w:rsidR="00A0527F" w:rsidRDefault="00A0527F">
      <w:pPr>
        <w:adjustRightInd w:val="0"/>
        <w:snapToGrid w:val="0"/>
        <w:spacing w:line="580" w:lineRule="exact"/>
        <w:jc w:val="center"/>
        <w:rPr>
          <w:rFonts w:ascii="黑体" w:eastAsia="黑体" w:hAnsi="仿宋_GB2312"/>
          <w:color w:val="000000"/>
          <w:sz w:val="44"/>
          <w:szCs w:val="44"/>
        </w:rPr>
      </w:pPr>
      <w:r>
        <w:rPr>
          <w:rFonts w:ascii="黑体" w:eastAsia="黑体" w:hAnsi="仿宋_GB2312" w:cs="黑体" w:hint="eastAsia"/>
          <w:color w:val="000000"/>
          <w:sz w:val="44"/>
          <w:szCs w:val="44"/>
        </w:rPr>
        <w:t>司法办公室部门概况</w:t>
      </w: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</w:p>
    <w:p w:rsidR="00A0527F" w:rsidRDefault="00A0527F">
      <w:pPr>
        <w:widowControl/>
        <w:jc w:val="left"/>
        <w:rPr>
          <w:rFonts w:ascii="黑体" w:eastAsia="黑体" w:hAnsi="宋体"/>
          <w:kern w:val="0"/>
          <w:sz w:val="28"/>
          <w:szCs w:val="28"/>
        </w:rPr>
        <w:sectPr w:rsidR="00A0527F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A0527F" w:rsidRDefault="00A0527F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一、主要职能</w:t>
      </w:r>
    </w:p>
    <w:p w:rsidR="00A0527F" w:rsidRDefault="00A0527F" w:rsidP="000E57D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</w:t>
      </w:r>
      <w:r>
        <w:rPr>
          <w:rFonts w:eastAsia="仿宋_GB2312" w:cs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cs="仿宋_GB2312" w:hint="eastAsia"/>
          <w:sz w:val="32"/>
          <w:szCs w:val="32"/>
        </w:rPr>
        <w:t>机构设置情况</w:t>
      </w:r>
      <w:r>
        <w:rPr>
          <w:rFonts w:eastAsia="仿宋_GB2312"/>
          <w:sz w:val="32"/>
          <w:szCs w:val="32"/>
        </w:rPr>
        <w:t>:</w:t>
      </w:r>
    </w:p>
    <w:p w:rsidR="00A0527F" w:rsidRDefault="00A0527F" w:rsidP="000E57D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司法办内设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个科室：社区矫正服刑人员科室、人民调解科室、办</w:t>
      </w:r>
      <w:r>
        <w:rPr>
          <w:rFonts w:ascii="仿宋_GB2312" w:eastAsia="仿宋_GB2312" w:cs="仿宋_GB2312" w:hint="eastAsia"/>
          <w:sz w:val="32"/>
          <w:szCs w:val="32"/>
        </w:rPr>
        <w:t>公室、办公室主要</w:t>
      </w:r>
      <w:r>
        <w:rPr>
          <w:rFonts w:eastAsia="仿宋_GB2312" w:cs="仿宋_GB2312" w:hint="eastAsia"/>
          <w:sz w:val="32"/>
          <w:szCs w:val="32"/>
        </w:rPr>
        <w:t>负责司法办办公室综合协调、服务及人事、财务等工作</w:t>
      </w:r>
      <w:r>
        <w:rPr>
          <w:rFonts w:eastAsia="仿宋_GB2312"/>
          <w:sz w:val="32"/>
          <w:szCs w:val="32"/>
        </w:rPr>
        <w:t>.</w:t>
      </w:r>
    </w:p>
    <w:p w:rsidR="00A0527F" w:rsidRDefault="00A0527F" w:rsidP="000E57D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</w:t>
      </w:r>
      <w:r>
        <w:rPr>
          <w:rFonts w:eastAsia="仿宋_GB2312" w:cs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cs="仿宋_GB2312" w:hint="eastAsia"/>
          <w:sz w:val="32"/>
          <w:szCs w:val="32"/>
        </w:rPr>
        <w:t>部门职责</w:t>
      </w:r>
      <w:r>
        <w:rPr>
          <w:rFonts w:eastAsia="仿宋_GB2312"/>
          <w:sz w:val="32"/>
          <w:szCs w:val="32"/>
        </w:rPr>
        <w:t>:</w:t>
      </w:r>
    </w:p>
    <w:p w:rsidR="00A0527F" w:rsidRDefault="00A0527F" w:rsidP="000E57D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伊滨区司法办公室主要对接市司法局，主要负责我区社区矫正服刑人员、人民调解、法律援助、依法普法宣传等工作。司法办内设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个科室：社区矫正服刑人员科室、人民调解科室、办</w:t>
      </w:r>
      <w:r>
        <w:rPr>
          <w:rFonts w:ascii="仿宋_GB2312" w:eastAsia="仿宋_GB2312" w:cs="仿宋_GB2312" w:hint="eastAsia"/>
          <w:sz w:val="32"/>
          <w:szCs w:val="32"/>
        </w:rPr>
        <w:t>公室、办公室主要</w:t>
      </w:r>
      <w:r>
        <w:rPr>
          <w:rFonts w:eastAsia="仿宋_GB2312" w:cs="仿宋_GB2312" w:hint="eastAsia"/>
          <w:sz w:val="32"/>
          <w:szCs w:val="32"/>
        </w:rPr>
        <w:t>负责司法办办公室综合协调、服务及人事、财务等工作；</w:t>
      </w:r>
    </w:p>
    <w:p w:rsidR="00A0527F" w:rsidRDefault="00A0527F" w:rsidP="000E57DE">
      <w:pPr>
        <w:ind w:firstLineChars="150" w:firstLine="480"/>
        <w:rPr>
          <w:rFonts w:eastAsia="仿宋_GB2312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二、部门预算单位构成</w:t>
      </w:r>
    </w:p>
    <w:p w:rsidR="00A0527F" w:rsidRDefault="00A0527F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从预算单位构成看，司法办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年预算包括：本级预算，纳入本部门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年度部门预算编制范围的单位共一个，洛阳市伊滨区管理委员会司法办公室。</w:t>
      </w:r>
    </w:p>
    <w:p w:rsidR="00A0527F" w:rsidRDefault="00A0527F" w:rsidP="000E57DE">
      <w:pPr>
        <w:ind w:firstLineChars="200" w:firstLine="640"/>
        <w:rPr>
          <w:rFonts w:eastAsia="黑体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rPr>
          <w:rFonts w:ascii="仿宋_GB2312" w:eastAsia="仿宋_GB2312" w:hAnsi="仿宋_GB2312"/>
          <w:kern w:val="0"/>
          <w:sz w:val="32"/>
          <w:szCs w:val="32"/>
        </w:rPr>
      </w:pPr>
    </w:p>
    <w:p w:rsidR="00A0527F" w:rsidRDefault="00A0527F">
      <w:pPr>
        <w:jc w:val="left"/>
        <w:rPr>
          <w:rFonts w:ascii="黑体" w:eastAsia="黑体" w:hAnsi="黑体"/>
          <w:sz w:val="32"/>
          <w:szCs w:val="32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第二部分</w:t>
      </w:r>
    </w:p>
    <w:p w:rsidR="00A0527F" w:rsidRDefault="00A0527F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司法办</w:t>
      </w:r>
      <w:r>
        <w:rPr>
          <w:rFonts w:ascii="黑体" w:eastAsia="黑体" w:hAnsi="黑体" w:cs="黑体"/>
          <w:sz w:val="44"/>
          <w:szCs w:val="44"/>
        </w:rPr>
        <w:t>2019</w:t>
      </w:r>
      <w:r>
        <w:rPr>
          <w:rFonts w:ascii="黑体" w:eastAsia="黑体" w:hAnsi="黑体" w:cs="黑体" w:hint="eastAsia"/>
          <w:sz w:val="44"/>
          <w:szCs w:val="44"/>
        </w:rPr>
        <w:t>年度部门预算情况说明</w:t>
      </w:r>
    </w:p>
    <w:p w:rsidR="00A0527F" w:rsidRDefault="00A0527F">
      <w:pPr>
        <w:widowControl/>
        <w:jc w:val="left"/>
        <w:rPr>
          <w:rFonts w:ascii="黑体" w:eastAsia="黑体" w:hAnsi="黑体"/>
          <w:sz w:val="48"/>
          <w:szCs w:val="48"/>
        </w:rPr>
        <w:sectPr w:rsidR="00A0527F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一、收入支出预算总体情况说明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年度收、支总计均为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万元。与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年度相比，收、支总计各减少</w:t>
      </w:r>
      <w:r>
        <w:rPr>
          <w:rFonts w:ascii="仿宋_GB2312" w:eastAsia="仿宋_GB2312" w:hAnsi="仿宋_GB2312" w:cs="仿宋_GB2312"/>
          <w:sz w:val="32"/>
          <w:szCs w:val="32"/>
        </w:rPr>
        <w:t>1.23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9%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。主要原因是工作、人员调整，聘用人员精神文明奖随工资统一发放，各部门不在编制预算。</w:t>
      </w:r>
    </w:p>
    <w:p w:rsidR="00A0527F" w:rsidRDefault="00A0527F" w:rsidP="000E57D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收入预算总体情况说明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年度收入合计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万元，其中：财政拨款收入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三、支出预算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总体</w:t>
      </w:r>
      <w:r>
        <w:rPr>
          <w:rFonts w:ascii="黑体" w:eastAsia="黑体" w:hAnsi="黑体" w:cs="黑体" w:hint="eastAsia"/>
          <w:sz w:val="32"/>
          <w:szCs w:val="32"/>
        </w:rPr>
        <w:t>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年度支出合计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仿宋_GB2312" w:cs="仿宋_GB2312"/>
          <w:sz w:val="32"/>
          <w:szCs w:val="32"/>
        </w:rPr>
        <w:t>6.07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/>
          <w:sz w:val="32"/>
          <w:szCs w:val="32"/>
        </w:rPr>
        <w:t>49%</w:t>
      </w:r>
      <w:r>
        <w:rPr>
          <w:rFonts w:ascii="仿宋_GB2312" w:eastAsia="仿宋_GB2312" w:hAnsi="仿宋_GB2312" w:cs="仿宋_GB2312" w:hint="eastAsia"/>
          <w:sz w:val="32"/>
          <w:szCs w:val="32"/>
        </w:rPr>
        <w:t>；项目支出</w:t>
      </w:r>
      <w:r>
        <w:rPr>
          <w:rFonts w:ascii="仿宋_GB2312" w:eastAsia="仿宋_GB2312" w:hAnsi="仿宋_GB2312" w:cs="仿宋_GB2312"/>
          <w:sz w:val="32"/>
          <w:szCs w:val="32"/>
        </w:rPr>
        <w:t>6.31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/>
          <w:sz w:val="32"/>
          <w:szCs w:val="32"/>
        </w:rPr>
        <w:t>51%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四、财政拨款收入支出预算总体情况说明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年度财政拨款收、支总计均为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万元。与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年度相比，财政拨款收、支总计各减少</w:t>
      </w:r>
      <w:r>
        <w:rPr>
          <w:rFonts w:ascii="仿宋_GB2312" w:eastAsia="仿宋_GB2312" w:hAnsi="仿宋_GB2312" w:cs="仿宋_GB2312"/>
          <w:sz w:val="32"/>
          <w:szCs w:val="32"/>
        </w:rPr>
        <w:t>1.23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9%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。主要原因是工作、人员调整，聘用人员精神文明奖随工资统一发放，各部门不在编制预算。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五、一般公共预算支出预算情况说明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年度一般公共预算财政拨款支出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万元，占支出合计的</w:t>
      </w:r>
      <w:r>
        <w:rPr>
          <w:rFonts w:ascii="仿宋_GB2312" w:eastAsia="仿宋_GB2312" w:hAnsi="仿宋_GB2312" w:cs="仿宋_GB231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。与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年度相比，一般公共预算财政拨款支出减少</w:t>
      </w:r>
      <w:r>
        <w:rPr>
          <w:rFonts w:ascii="仿宋_GB2312" w:eastAsia="仿宋_GB2312" w:hAnsi="仿宋_GB2312" w:cs="仿宋_GB2312"/>
          <w:sz w:val="32"/>
          <w:szCs w:val="32"/>
        </w:rPr>
        <w:t>1.23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9%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。主要原因是工作、人员调整，聘用人员精神文明奖随工资统一发放，各部门不在编制预算。</w:t>
      </w:r>
    </w:p>
    <w:p w:rsidR="00A0527F" w:rsidRDefault="00A0527F">
      <w:pPr>
        <w:widowControl/>
        <w:spacing w:line="59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年度一般公共预算财政拨款支出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万元，主要用于以下方面：公共安全支出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527F" w:rsidRDefault="00A0527F">
      <w:pPr>
        <w:widowControl/>
        <w:spacing w:line="59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年度一般公共预算财政拨款支出年初预算为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万元，支出预算为</w:t>
      </w:r>
      <w:r>
        <w:rPr>
          <w:rFonts w:ascii="仿宋_GB2312" w:eastAsia="仿宋_GB2312" w:hAnsi="仿宋_GB2312" w:cs="仿宋_GB2312"/>
          <w:sz w:val="32"/>
          <w:szCs w:val="32"/>
        </w:rPr>
        <w:t>12.38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cs="仿宋_GB231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六、一般公共预算基本支出预算情况说明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年度一般公共预算财政拨款基本支出</w:t>
      </w:r>
      <w:r>
        <w:rPr>
          <w:rFonts w:ascii="仿宋_GB2312" w:eastAsia="仿宋_GB2312" w:hAnsi="仿宋_GB2312" w:cs="仿宋_GB2312"/>
          <w:sz w:val="32"/>
          <w:szCs w:val="32"/>
        </w:rPr>
        <w:t>6.07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万元。与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年度相比，增加</w:t>
      </w:r>
      <w:r>
        <w:rPr>
          <w:rFonts w:ascii="仿宋_GB2312" w:eastAsia="仿宋_GB2312" w:hAnsi="仿宋_GB2312" w:cs="仿宋_GB2312"/>
          <w:sz w:val="32"/>
          <w:szCs w:val="32"/>
        </w:rPr>
        <w:t>0.24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4%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，主要原因：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年精神文明奖进行调整，补发部分列入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年预算。其中：人员经费</w:t>
      </w:r>
      <w:r>
        <w:rPr>
          <w:rFonts w:ascii="仿宋_GB2312" w:eastAsia="仿宋_GB2312" w:hAnsi="仿宋_GB2312" w:cs="仿宋_GB2312"/>
          <w:sz w:val="32"/>
          <w:szCs w:val="32"/>
        </w:rPr>
        <w:t>3.77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基本工资、津贴补贴、伙食补助费、绩效工资、机关事业单位基本养老保险缴费、职业年金缴费、其他社会保障缴费、其他工资福利支出、离休费、退休费、抚恤金、生活补助、医疗费、奖励金、住房公积金、采暖补贴、物业服务补贴、其他对个人和家庭的补助支出；公用经费</w:t>
      </w:r>
      <w:r>
        <w:rPr>
          <w:rFonts w:ascii="仿宋_GB2312" w:eastAsia="仿宋_GB2312" w:hAnsi="仿宋_GB2312" w:cs="仿宋_GB2312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其他资本性支出和其他支出。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527F" w:rsidRDefault="00A0527F" w:rsidP="000E57DE">
      <w:pPr>
        <w:spacing w:line="580" w:lineRule="exact"/>
        <w:ind w:firstLineChars="200" w:firstLine="640"/>
        <w:outlineLvl w:val="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七、政府性基金预算支出预算情况说明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年没有使用政府性基金预算拨款安排的支出。</w:t>
      </w:r>
    </w:p>
    <w:p w:rsidR="00A0527F" w:rsidRDefault="00A0527F" w:rsidP="000E57DE">
      <w:pPr>
        <w:spacing w:line="58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国有资本经营预算支出预算情况说明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年没有使用国有资本经营预算拨款安排的支出。</w:t>
      </w:r>
    </w:p>
    <w:p w:rsidR="00A0527F" w:rsidRDefault="00A0527F" w:rsidP="000E57DE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九、“三公”经费支出预算情况说明</w:t>
      </w:r>
    </w:p>
    <w:p w:rsidR="00A0527F" w:rsidRDefault="00A0527F" w:rsidP="000E57DE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年“三公”经费预算为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年预算数增加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具体支出情况如下：</w:t>
      </w:r>
    </w:p>
    <w:p w:rsidR="00A0527F" w:rsidRDefault="00A0527F" w:rsidP="000E57D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万元。预算数比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年增加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0527F" w:rsidRDefault="00A0527F" w:rsidP="000E57D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元。其中公务车辆购置费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年增减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万元，较上年增长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公务用车运行维护费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年增减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万元，较上年增长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A0527F" w:rsidRDefault="00A0527F" w:rsidP="000E57DE">
      <w:pPr>
        <w:widowControl/>
        <w:spacing w:line="590" w:lineRule="exact"/>
        <w:ind w:firstLineChars="100" w:firstLine="318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比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年预算数增加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万元，下增长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527F" w:rsidRPr="00F970F7" w:rsidRDefault="00A0527F" w:rsidP="000E57DE">
      <w:pPr>
        <w:widowControl/>
        <w:spacing w:line="590" w:lineRule="exact"/>
        <w:ind w:firstLineChars="100" w:firstLine="3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我单位无三公经费支出。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outlineLvl w:val="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"/>
          <w:kern w:val="0"/>
          <w:sz w:val="32"/>
          <w:szCs w:val="32"/>
        </w:rPr>
        <w:t>十、其他重要事项的情况说明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/>
          <w:color w:val="00000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（一）机关运行经费支出情况</w:t>
      </w:r>
    </w:p>
    <w:p w:rsidR="00A0527F" w:rsidRDefault="00A0527F" w:rsidP="000E57DE">
      <w:pPr>
        <w:widowControl/>
        <w:spacing w:line="59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年度机关运行经费支出预算</w:t>
      </w:r>
      <w:r>
        <w:rPr>
          <w:rFonts w:ascii="仿宋_GB2312" w:eastAsia="仿宋_GB2312" w:hAnsi="仿宋_GB2312" w:cs="仿宋_GB2312"/>
          <w:sz w:val="32"/>
          <w:szCs w:val="32"/>
        </w:rPr>
        <w:t>6.07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主要保障机关机构正常运转及正常履职需要的办公费、水电费、物业费、维修费、差旅费等支出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。比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年度减少</w:t>
      </w:r>
      <w:r>
        <w:rPr>
          <w:rFonts w:ascii="仿宋_GB2312" w:eastAsia="仿宋_GB2312" w:hAnsi="仿宋_GB2312" w:cs="仿宋_GB2312"/>
          <w:sz w:val="32"/>
          <w:szCs w:val="32"/>
        </w:rPr>
        <w:t>0.97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6%</w:t>
      </w:r>
      <w:r>
        <w:rPr>
          <w:rFonts w:ascii="仿宋_GB2312" w:eastAsia="仿宋_GB2312" w:hAnsi="仿宋_GB2312" w:cs="仿宋_GB2312" w:hint="eastAsia"/>
          <w:sz w:val="32"/>
          <w:szCs w:val="32"/>
        </w:rPr>
        <w:t>。减少的主要原因是：机构和人员调整，聘用人员精神文明奖岁工资统一发放，不在编制预算。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（二）政府采购支出情况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年政府采购预算安排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政府采购货物预算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万元、政府采购工程预算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万元、政府采购服务预算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lastRenderedPageBreak/>
        <w:t>（三）关于预算绩效管理工作开展情况说明</w:t>
      </w:r>
    </w:p>
    <w:p w:rsidR="00A0527F" w:rsidRDefault="00A0527F" w:rsidP="000E57DE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我部门对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个项目进行了预算绩效评价，涉及资金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  <w:r>
        <w:rPr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年，我部门纳入预算绩效管理的支出总额为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万元，其中人员经费支出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万元，公用经费支出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万元，支出项目共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个，支出总额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万元，其中预算支出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万元以上项目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个，支出总额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</w:p>
    <w:p w:rsidR="00A0527F" w:rsidRDefault="00A0527F" w:rsidP="000E57DE">
      <w:pPr>
        <w:spacing w:line="580" w:lineRule="exact"/>
        <w:ind w:leftChars="200" w:left="420"/>
        <w:rPr>
          <w:rFonts w:ascii="楷体_GB2312" w:eastAsia="楷体_GB2312" w:hAnsi="仿宋_GB2312"/>
          <w:color w:val="00000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sz w:val="32"/>
          <w:szCs w:val="32"/>
        </w:rPr>
        <w:t>（四）国有资产占用情况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司法办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年期末，司法办固定资产总额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万元，其中，房屋建筑物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万元，车辆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万元。共有车辆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辆，其中：一般公务用车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辆，执法执勤车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万元以上通用设备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台（套），单位价值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万元以上专用设备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A0527F" w:rsidRDefault="00A0527F" w:rsidP="000E57DE">
      <w:pPr>
        <w:widowControl/>
        <w:spacing w:line="580" w:lineRule="exact"/>
        <w:ind w:firstLineChars="200" w:firstLine="640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（五）关于预算部门构成说明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年我单位按照市财政预算公开要求，将所属预算单位全部纳入预算公开范围。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/>
          <w:color w:val="000000"/>
          <w:kern w:val="0"/>
          <w:sz w:val="32"/>
          <w:szCs w:val="32"/>
        </w:rPr>
      </w:pP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/>
          <w:color w:val="000000"/>
          <w:kern w:val="0"/>
          <w:sz w:val="32"/>
          <w:szCs w:val="32"/>
        </w:rPr>
      </w:pPr>
    </w:p>
    <w:p w:rsidR="00A0527F" w:rsidRDefault="00A0527F" w:rsidP="000E57DE">
      <w:pPr>
        <w:widowControl/>
        <w:spacing w:line="590" w:lineRule="exact"/>
        <w:ind w:firstLineChars="100" w:firstLine="320"/>
        <w:rPr>
          <w:rFonts w:ascii="仿宋_GB2312" w:eastAsia="仿宋_GB2312" w:hAnsi="仿宋_GB2312"/>
          <w:sz w:val="32"/>
          <w:szCs w:val="32"/>
        </w:rPr>
      </w:pPr>
    </w:p>
    <w:p w:rsidR="00A0527F" w:rsidRDefault="00A0527F">
      <w:pPr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adjustRightInd w:val="0"/>
        <w:snapToGrid w:val="0"/>
        <w:spacing w:line="58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第三部分</w:t>
      </w:r>
      <w:r>
        <w:rPr>
          <w:rFonts w:ascii="黑体" w:eastAsia="黑体" w:hAnsi="黑体" w:cs="黑体"/>
          <w:color w:val="000000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名词解释</w:t>
      </w: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</w:pPr>
    </w:p>
    <w:p w:rsidR="00A0527F" w:rsidRDefault="00A0527F">
      <w:pPr>
        <w:jc w:val="center"/>
        <w:outlineLvl w:val="0"/>
        <w:rPr>
          <w:rFonts w:ascii="黑体" w:eastAsia="黑体" w:hAnsi="黑体"/>
          <w:sz w:val="48"/>
          <w:szCs w:val="48"/>
        </w:rPr>
        <w:sectPr w:rsidR="00A0527F">
          <w:pgSz w:w="11906" w:h="16838"/>
          <w:pgMar w:top="1440" w:right="1531" w:bottom="1440" w:left="1587" w:header="850" w:footer="992" w:gutter="0"/>
          <w:pgNumType w:fmt="numberInDash"/>
          <w:cols w:space="720"/>
          <w:docGrid w:type="lines" w:linePitch="317"/>
        </w:sectPr>
      </w:pP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一、财政拨款收入：是指市级财政当年拨付的资金。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得的收入。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0527F" w:rsidRDefault="00A0527F" w:rsidP="000E57D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七、机关运行经费：是指为保障行政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公务用车运行维护费以及其他费用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等支出。</w:t>
      </w:r>
    </w:p>
    <w:p w:rsidR="00A0527F" w:rsidRDefault="00A0527F" w:rsidP="000E57DE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 w:rsidR="00A0527F" w:rsidRDefault="00A0527F" w:rsidP="000E57DE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九、商品和服务支出：单位购买商品和服务的支出。</w:t>
      </w:r>
    </w:p>
    <w:p w:rsidR="00A0527F" w:rsidRDefault="00A0527F" w:rsidP="000E57DE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十、对个人和家庭的补助支出：单位用于对个人和家庭的补助支出。</w:t>
      </w:r>
    </w:p>
    <w:p w:rsidR="00A0527F" w:rsidRDefault="00A0527F" w:rsidP="000E57DE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:rsidR="00A0527F" w:rsidRDefault="00A0527F" w:rsidP="000E57DE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:rsidR="00A0527F" w:rsidRDefault="00A0527F" w:rsidP="000E57D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</w:p>
    <w:p w:rsidR="00A0527F" w:rsidRDefault="00A0527F" w:rsidP="000E57D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</w:p>
    <w:p w:rsidR="00A0527F" w:rsidRDefault="00A0527F" w:rsidP="000E57D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附件：司法办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年度部门预算表</w:t>
      </w:r>
    </w:p>
    <w:p w:rsidR="00A0527F" w:rsidRDefault="00A0527F" w:rsidP="000E57DE">
      <w:pPr>
        <w:widowControl/>
        <w:spacing w:line="590" w:lineRule="exact"/>
        <w:ind w:firstLineChars="200" w:firstLine="640"/>
        <w:jc w:val="left"/>
        <w:rPr>
          <w:rFonts w:ascii="黑体" w:eastAsia="黑体" w:hAnsi="仿宋_GB2312"/>
          <w:sz w:val="32"/>
          <w:szCs w:val="32"/>
        </w:rPr>
      </w:pPr>
    </w:p>
    <w:p w:rsidR="00A0527F" w:rsidRDefault="00A0527F" w:rsidP="000E57DE">
      <w:pPr>
        <w:widowControl/>
        <w:spacing w:line="590" w:lineRule="exact"/>
        <w:ind w:firstLineChars="200" w:firstLine="640"/>
        <w:jc w:val="left"/>
        <w:rPr>
          <w:rFonts w:ascii="黑体" w:eastAsia="黑体" w:hAnsi="仿宋_GB2312"/>
          <w:sz w:val="32"/>
          <w:szCs w:val="32"/>
        </w:rPr>
      </w:pPr>
    </w:p>
    <w:p w:rsidR="00A0527F" w:rsidRDefault="00A0527F">
      <w:pPr>
        <w:widowControl/>
        <w:spacing w:line="59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仿宋_GB2312" w:cs="黑体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0527F" w:rsidRDefault="00A0527F"/>
    <w:sectPr w:rsidR="00A0527F" w:rsidSect="00A8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BE" w:rsidRDefault="00D20ABE" w:rsidP="00A85273">
      <w:r>
        <w:separator/>
      </w:r>
    </w:p>
  </w:endnote>
  <w:endnote w:type="continuationSeparator" w:id="0">
    <w:p w:rsidR="00D20ABE" w:rsidRDefault="00D20ABE" w:rsidP="00A85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E" w:rsidRDefault="000E57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BD" w:rsidRDefault="00B11BBD">
    <w:pPr>
      <w:pStyle w:val="a3"/>
      <w:jc w:val="center"/>
    </w:pPr>
    <w:fldSimple w:instr=" PAGE   \* MERGEFORMAT ">
      <w:r w:rsidRPr="00B11BBD">
        <w:rPr>
          <w:noProof/>
          <w:lang w:val="zh-CN"/>
        </w:rPr>
        <w:t>-</w:t>
      </w:r>
      <w:r>
        <w:rPr>
          <w:noProof/>
        </w:rPr>
        <w:t xml:space="preserve"> 1 -</w:t>
      </w:r>
    </w:fldSimple>
  </w:p>
  <w:p w:rsidR="000E57DE" w:rsidRDefault="000E57D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E" w:rsidRDefault="000E57D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7F" w:rsidRDefault="00890D0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A0527F" w:rsidRDefault="00A0527F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BE" w:rsidRDefault="00D20ABE" w:rsidP="00A85273">
      <w:r>
        <w:separator/>
      </w:r>
    </w:p>
  </w:footnote>
  <w:footnote w:type="continuationSeparator" w:id="0">
    <w:p w:rsidR="00D20ABE" w:rsidRDefault="00D20ABE" w:rsidP="00A85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E" w:rsidRDefault="000E57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E" w:rsidRDefault="000E57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E" w:rsidRDefault="000E57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2DAA"/>
    <w:multiLevelType w:val="singleLevel"/>
    <w:tmpl w:val="5A4F2DA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61F"/>
    <w:rsid w:val="000343F9"/>
    <w:rsid w:val="000E57DE"/>
    <w:rsid w:val="000F1C24"/>
    <w:rsid w:val="000F6A4B"/>
    <w:rsid w:val="00112C18"/>
    <w:rsid w:val="00112C70"/>
    <w:rsid w:val="00130BFD"/>
    <w:rsid w:val="00144ADC"/>
    <w:rsid w:val="001A7E45"/>
    <w:rsid w:val="001B7150"/>
    <w:rsid w:val="001D4E38"/>
    <w:rsid w:val="00202DD5"/>
    <w:rsid w:val="00263DF3"/>
    <w:rsid w:val="002E4029"/>
    <w:rsid w:val="003428D1"/>
    <w:rsid w:val="003517B9"/>
    <w:rsid w:val="003813CF"/>
    <w:rsid w:val="003A098C"/>
    <w:rsid w:val="003F046D"/>
    <w:rsid w:val="003F5A22"/>
    <w:rsid w:val="00400E20"/>
    <w:rsid w:val="004650BE"/>
    <w:rsid w:val="004C71AD"/>
    <w:rsid w:val="004C7A0C"/>
    <w:rsid w:val="00553E99"/>
    <w:rsid w:val="005C043A"/>
    <w:rsid w:val="00631227"/>
    <w:rsid w:val="0069598E"/>
    <w:rsid w:val="007023B9"/>
    <w:rsid w:val="00783656"/>
    <w:rsid w:val="00787FB5"/>
    <w:rsid w:val="00790BEA"/>
    <w:rsid w:val="007A2256"/>
    <w:rsid w:val="007F4F03"/>
    <w:rsid w:val="00890D05"/>
    <w:rsid w:val="008C1C17"/>
    <w:rsid w:val="0090622F"/>
    <w:rsid w:val="00930EA0"/>
    <w:rsid w:val="009B5EE2"/>
    <w:rsid w:val="00A0527F"/>
    <w:rsid w:val="00A56DA5"/>
    <w:rsid w:val="00A85273"/>
    <w:rsid w:val="00AB4D92"/>
    <w:rsid w:val="00AC13C4"/>
    <w:rsid w:val="00AD6449"/>
    <w:rsid w:val="00AF32AE"/>
    <w:rsid w:val="00B11BBD"/>
    <w:rsid w:val="00B2005F"/>
    <w:rsid w:val="00B27F6B"/>
    <w:rsid w:val="00B33F47"/>
    <w:rsid w:val="00B7239F"/>
    <w:rsid w:val="00CE4113"/>
    <w:rsid w:val="00D2006B"/>
    <w:rsid w:val="00D20ABE"/>
    <w:rsid w:val="00D26865"/>
    <w:rsid w:val="00D4593B"/>
    <w:rsid w:val="00D51204"/>
    <w:rsid w:val="00D633DC"/>
    <w:rsid w:val="00DA12FA"/>
    <w:rsid w:val="00DD7591"/>
    <w:rsid w:val="00E60EE4"/>
    <w:rsid w:val="00EA573B"/>
    <w:rsid w:val="00EB20DD"/>
    <w:rsid w:val="00EC1142"/>
    <w:rsid w:val="00F0761F"/>
    <w:rsid w:val="00F209E4"/>
    <w:rsid w:val="00F74533"/>
    <w:rsid w:val="00F970F7"/>
    <w:rsid w:val="00FA0FCF"/>
    <w:rsid w:val="36D229A3"/>
    <w:rsid w:val="573A04FC"/>
    <w:rsid w:val="724B57F4"/>
    <w:rsid w:val="7A5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A85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locked/>
    <w:rsid w:val="00A8527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uiPriority w:val="99"/>
    <w:rsid w:val="00A8527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5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512</Words>
  <Characters>2924</Characters>
  <Application>Microsoft Office Word</Application>
  <DocSecurity>0</DocSecurity>
  <Lines>24</Lines>
  <Paragraphs>6</Paragraphs>
  <ScaleCrop>false</ScaleCrop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伊滨区司法办公室</dc:title>
  <dc:subject/>
  <dc:creator>HP</dc:creator>
  <cp:keywords/>
  <dc:description/>
  <cp:lastModifiedBy>Administrator</cp:lastModifiedBy>
  <cp:revision>10</cp:revision>
  <cp:lastPrinted>2020-04-01T07:16:00Z</cp:lastPrinted>
  <dcterms:created xsi:type="dcterms:W3CDTF">2020-04-01T01:34:00Z</dcterms:created>
  <dcterms:modified xsi:type="dcterms:W3CDTF">2021-06-08T07:45:00Z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